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C6" w:rsidRPr="00C56184" w:rsidRDefault="000F5BC6" w:rsidP="00C56184">
      <w:pPr>
        <w:widowControl/>
        <w:spacing w:line="380" w:lineRule="exact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C56184">
        <w:rPr>
          <w:rFonts w:ascii="標楷體" w:eastAsia="標楷體" w:hAnsi="標楷體" w:cs="新細明體"/>
          <w:kern w:val="0"/>
          <w:sz w:val="32"/>
          <w:szCs w:val="32"/>
        </w:rPr>
        <w:t>法</w:t>
      </w:r>
      <w:bookmarkStart w:id="0" w:name="_GoBack"/>
      <w:bookmarkEnd w:id="0"/>
      <w:r w:rsidRPr="00C56184">
        <w:rPr>
          <w:rFonts w:ascii="標楷體" w:eastAsia="標楷體" w:hAnsi="標楷體" w:cs="新細明體"/>
          <w:kern w:val="0"/>
          <w:sz w:val="32"/>
          <w:szCs w:val="32"/>
        </w:rPr>
        <w:t>務部行政執行署各分署選任鑑定人作業要點</w:t>
      </w:r>
    </w:p>
    <w:p w:rsidR="000F5BC6" w:rsidRPr="000F5BC6" w:rsidRDefault="000F5BC6" w:rsidP="00C56184">
      <w:pPr>
        <w:widowControl/>
        <w:spacing w:line="380" w:lineRule="exact"/>
        <w:jc w:val="right"/>
        <w:rPr>
          <w:rFonts w:ascii="標楷體" w:eastAsia="標楷體" w:hAnsi="標楷體" w:cs="新細明體"/>
          <w:kern w:val="0"/>
          <w:sz w:val="28"/>
          <w:szCs w:val="28"/>
        </w:rPr>
      </w:pPr>
      <w:r w:rsidRPr="000F5BC6">
        <w:rPr>
          <w:rFonts w:ascii="標楷體" w:eastAsia="標楷體" w:hAnsi="標楷體" w:cs="新細明體"/>
          <w:kern w:val="0"/>
          <w:sz w:val="28"/>
          <w:szCs w:val="28"/>
        </w:rPr>
        <w:t>修正時間：中華民國100年12月27日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566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一、為兼顧公益及人民權益，規範法務部行政執行署各分署（以下簡稱分署）選任鑑定人之作業流程，提昇鑑定水準，促進行政執行業務之順利推動，特訂定本要點。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566" w:hangingChars="202" w:hanging="566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二、經分署轄區內地方法院評選列為法院得選任之鑑定人者，得向分署申請列為得選任之鑑定人，參與分署各項鑑定估價業務。分署於必要時，得囑託機關、團體為鑑定或審查鑑定意見。前項申請列為得選任之鑑定人，應檢具申請書（如附件一）及相關證明文件向分署申請，分署受理申請時，由</w:t>
      </w:r>
      <w:proofErr w:type="gramStart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秘書室彙整</w:t>
      </w:r>
      <w:proofErr w:type="gramEnd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，每年一次提請評選小組評選。評選小組之組成由分署長指定，其人數為五至七人。經評選小組列為得選任之鑑定人者，應由</w:t>
      </w:r>
      <w:proofErr w:type="gramStart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秘書室造冊</w:t>
      </w:r>
      <w:proofErr w:type="gramEnd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，由評選小組決定選任之方式，其方式應符合公平、合理原則。已列為得選任之鑑定人，經評選小組議決不適任者，不得列入得選任為鑑定人之名單。已選任之鑑定人，分署得撤換或變更之。</w:t>
      </w:r>
    </w:p>
    <w:p w:rsidR="000F5BC6" w:rsidRPr="000F5BC6" w:rsidRDefault="000F5BC6" w:rsidP="000F5BC6">
      <w:pPr>
        <w:widowControl/>
        <w:spacing w:line="380" w:lineRule="exact"/>
        <w:ind w:firstLineChars="200" w:firstLine="560"/>
        <w:rPr>
          <w:rFonts w:ascii="標楷體" w:eastAsia="標楷體" w:hAnsi="標楷體" w:cs="新細明體"/>
          <w:kern w:val="0"/>
          <w:sz w:val="28"/>
          <w:szCs w:val="28"/>
        </w:rPr>
      </w:pPr>
      <w:r w:rsidRPr="000F5BC6">
        <w:rPr>
          <w:rFonts w:ascii="標楷體" w:eastAsia="標楷體" w:hAnsi="標楷體" w:cs="新細明體"/>
          <w:kern w:val="0"/>
          <w:sz w:val="28"/>
          <w:szCs w:val="28"/>
        </w:rPr>
        <w:t>附件一-法務部行政執行署○○分署鑑定人申請書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566" w:hangingChars="202" w:hanging="566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三、分署選任鑑定人時，以評選小組決定選任之方式為之。但有下列情形之一，得不受其限制：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（一）執行標的特殊，行政執行官認有另行選任之必要者。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1134" w:hangingChars="405" w:hanging="1134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（二）執行標的特殊，經移送機關、義務人或利害關係人申請，</w:t>
      </w:r>
      <w:proofErr w:type="gramStart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宜委由</w:t>
      </w:r>
      <w:proofErr w:type="gramEnd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專業鑑定人鑑定者。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（三）擬選任之鑑定人無鑑定執行標的之業務項目或資格者。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1134" w:hangingChars="405" w:hanging="1134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（四）擬選任之鑑定人有公司停業、辦理解散登記、經主管機關撤銷、廢止其登記或其他相類情形者。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前項但書情形，應由承辦股簽請分署長決定之。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四、鑑定人應提出鑑定書。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566" w:hangingChars="202" w:hanging="566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分署認為必要時，得命鑑定人、或受囑託鑑定之機關、團體指定人員到場說明。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前項情形，到場人員不得請求日費、旅費或其他報酬。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566" w:hangingChars="202" w:hanging="566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除有不可歸責事由外，鑑定人應於移送機關（債權人）繳納鑑定費用後十日內，將鑑定書送交分署。但須附都市計劃使用分區證明者，應於二十日內將鑑定書送交分署。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鑑定書應以</w:t>
      </w:r>
      <w:proofErr w:type="gramStart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Ａ</w:t>
      </w:r>
      <w:proofErr w:type="gramEnd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４紙張製作，並包括下列內容：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991" w:hangingChars="354" w:hanging="991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（一）鑑定書之封面或內頁，應詳細記載鑑定日期、鑑定人之住址、電話及鑑定費用總額。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1134" w:hangingChars="405" w:hanging="1134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 xml:space="preserve">  （二）鑑定書之不動產附表格式，應與分署拍賣公告之附表格式相同。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（三）不動產</w:t>
      </w:r>
      <w:proofErr w:type="gramStart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鑑定書須載明</w:t>
      </w:r>
      <w:proofErr w:type="gramEnd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下列內容（如附件二）：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1.權利標示：含債權人、債務人、抵押權人及他項權利人。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1417" w:hangingChars="506" w:hanging="1417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2.土地坐落：地段地號、應有部分之比例及面積（平方公尺及坪各若干）。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1417" w:hangingChars="506" w:hanging="1417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3.建物坐落：門牌號碼、建號、已登記面積及未登記面積（分別及合計各若干）。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1417" w:hangingChars="506" w:hanging="1417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4.構造及樓層：材質（如磚造、鋼筋混凝土造等）、總樓層及所屬樓層。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1417" w:hangingChars="506" w:hanging="1417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5.鑑定依據：對鑑定標的價額判斷之基礎。如有特殊情事，例如海砂屋、輻射屋、地震受創、火災受損等等，務必記載明確。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6.鑑定價值。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7.扣除土地增值稅後之淨值。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8.鑑定標的有無門牌整編之情形。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9.土地、建物之</w:t>
      </w:r>
      <w:proofErr w:type="gramStart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鑑</w:t>
      </w:r>
      <w:proofErr w:type="gramEnd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估分析表。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10.環境概況分析表。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11.他項權利分析表。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12.土地增值稅計算表。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1417" w:hangingChars="506" w:hanging="1417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13.標的物現況照片：宜包含標</w:t>
      </w:r>
      <w:proofErr w:type="gramStart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的物前</w:t>
      </w:r>
      <w:proofErr w:type="gramEnd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、後、二側之立面</w:t>
      </w:r>
      <w:proofErr w:type="gramStart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及臨路狀況</w:t>
      </w:r>
      <w:proofErr w:type="gramEnd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，並應以手勢、箭頭等符號註明標的物之位置。</w:t>
      </w:r>
      <w:proofErr w:type="gramStart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若標的</w:t>
      </w:r>
      <w:proofErr w:type="gramEnd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物為公寓大廈之一樓、頂樓</w:t>
      </w:r>
      <w:proofErr w:type="gramStart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或透天厝</w:t>
      </w:r>
      <w:proofErr w:type="gramEnd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時，照片須能判斷一樓、頂樓有無增建部分。如有無法拍攝之情形，應以文字、圖片或其他適當方法表明標的物之現況。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1417" w:hangingChars="506" w:hanging="1417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14.鑑定標的之位置略圖，並以手勢、箭頭等符號註明標的物之位置。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1417" w:hangingChars="506" w:hanging="1417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15.鑑定標的為土地時，須附土地登記簿謄本、地籍圖謄本及其都市計畫使用分區證明。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1417" w:hangingChars="506" w:hanging="1417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16.鑑定標的為建物時，須附建物登記簿謄本、建物測量成果圖及建築改良物平面圖。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1417" w:hangingChars="506" w:hanging="1417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17.土地或建物現狀如有因分署未發現之特殊狀況，而影響拍賣結果者，應</w:t>
      </w:r>
      <w:proofErr w:type="gramStart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併</w:t>
      </w:r>
      <w:proofErr w:type="gramEnd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陳明。例如土地現已為道路使用；土地上有油槽、祠堂、墳墓或倒置廢棄物；建物內有自用電梯等情形。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18.建物有打通使用或占用鄰地情形。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 xml:space="preserve">       19.建物有增建部分未經查封者，應一併</w:t>
      </w:r>
      <w:proofErr w:type="gramStart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鑑</w:t>
      </w:r>
      <w:proofErr w:type="gramEnd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價並記明其事由。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1417" w:hangingChars="506" w:hanging="1417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20.農林作物種類如有多筆，應分別標示各筆土地上作物之數量及價值，暨作物</w:t>
      </w:r>
      <w:proofErr w:type="gramStart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鑑</w:t>
      </w:r>
      <w:proofErr w:type="gramEnd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價依據之相關資料。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21.鑑定時發現有附屬車位者，應標示之。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1417" w:hangingChars="506" w:hanging="1417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22.鑑定標的須特別應買條件者，如原住民保留地等，亦</w:t>
      </w:r>
      <w:proofErr w:type="gramStart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併</w:t>
      </w:r>
      <w:proofErr w:type="gramEnd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註明。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1417" w:hangingChars="506" w:hanging="1417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23.鑑定標的所屬區段之成交行情簡表或訪談紀錄（坐落、面積、每坪單價）。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1417" w:hangingChars="506" w:hanging="1417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24.鑑定價值低於一般市價或土地之公告</w:t>
      </w:r>
      <w:proofErr w:type="gramStart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現值者</w:t>
      </w:r>
      <w:proofErr w:type="gramEnd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，應陳明理由。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25.分別拍賣或合併拍賣之建議。</w:t>
      </w:r>
    </w:p>
    <w:p w:rsidR="000F5BC6" w:rsidRPr="000F5BC6" w:rsidRDefault="000F5BC6" w:rsidP="000F5BC6">
      <w:pPr>
        <w:widowControl/>
        <w:spacing w:line="380" w:lineRule="exact"/>
        <w:ind w:firstLineChars="300" w:firstLine="840"/>
        <w:rPr>
          <w:rFonts w:ascii="標楷體" w:eastAsia="標楷體" w:hAnsi="標楷體" w:cs="新細明體"/>
          <w:kern w:val="0"/>
          <w:sz w:val="28"/>
          <w:szCs w:val="28"/>
        </w:rPr>
      </w:pPr>
      <w:r w:rsidRPr="000F5BC6">
        <w:rPr>
          <w:rFonts w:ascii="標楷體" w:eastAsia="標楷體" w:hAnsi="標楷體" w:cs="新細明體"/>
          <w:kern w:val="0"/>
          <w:sz w:val="28"/>
          <w:szCs w:val="28"/>
        </w:rPr>
        <w:t>附件二-鑑定報告</w:t>
      </w:r>
    </w:p>
    <w:p w:rsidR="000F5BC6" w:rsidRPr="000F5BC6" w:rsidRDefault="000F5BC6" w:rsidP="000F5BC6">
      <w:pPr>
        <w:widowControl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566" w:hangingChars="202" w:hanging="566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五、鑑定標準：鑑定人除依國內相關鑑定法令、鑑定專業知識等，為公正誠實、謹慎適當之鑑定外，並應特別注意下列情事：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1134" w:hangingChars="405" w:hanging="1134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（一）鑑定標的之實際構造與登記簿記載不符時，仍應按實際構造情形為鑑定。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（二）鑑定價格宜與鑑定當時之市價相當。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1134" w:hangingChars="405" w:hanging="1134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（三）鑑定標的是否有因地區之繁榮或沒落、商業之興盛或衰敗、環境四周狀況或其他有形、無形之特殊因素，而影響鑑定標的之價值高低。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（四）分署特別指定之事項。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566" w:hangingChars="202" w:hanging="566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六、鑑定人之日費、旅費及報酬，均</w:t>
      </w:r>
      <w:proofErr w:type="gramStart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併</w:t>
      </w:r>
      <w:proofErr w:type="gramEnd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計於鑑定費用內。鑑定人應於鑑定前，向移送機關（債權人）收取。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566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分署選任鑑定人後，應通知被選任之鑑定人，並副知移送機關。移送機關（債權人）未於通知送達後五日內繳納鑑定費用，鑑定人應即向承辦股陳明。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566" w:hangingChars="202" w:hanging="566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七、分署應訂定鑑定費用之收取標準，其標準由評選小組評定後，報請分署長核定。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566" w:hangingChars="202" w:hanging="566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前項鑑定費用之收取標準，得請移送機關（債權人）表示意見，並參酌當地之經濟、物價、工資情形及轄區內地方法院鑑定費用之收取標準等因素訂定之（如附件三）。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Chars="236" w:left="566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移送機關（債權人）如認個案鑑定費用收取不合理，得由分署邀集鑑定人協議；如協議不成，得改由其他鑑定人</w:t>
      </w:r>
      <w:proofErr w:type="gramStart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鑑</w:t>
      </w:r>
      <w:proofErr w:type="gramEnd"/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價。</w:t>
      </w:r>
    </w:p>
    <w:p w:rsidR="000F5BC6" w:rsidRPr="000F5BC6" w:rsidRDefault="000F5BC6" w:rsidP="000F5BC6">
      <w:pPr>
        <w:widowControl/>
        <w:spacing w:line="380" w:lineRule="exact"/>
        <w:ind w:leftChars="176" w:left="1413" w:hangingChars="354" w:hanging="991"/>
        <w:rPr>
          <w:rFonts w:ascii="標楷體" w:eastAsia="標楷體" w:hAnsi="標楷體" w:cs="新細明體"/>
          <w:kern w:val="0"/>
          <w:sz w:val="28"/>
          <w:szCs w:val="28"/>
        </w:rPr>
      </w:pPr>
      <w:r w:rsidRPr="000F5BC6">
        <w:rPr>
          <w:rFonts w:ascii="標楷體" w:eastAsia="標楷體" w:hAnsi="標楷體" w:cs="新細明體"/>
          <w:kern w:val="0"/>
          <w:sz w:val="28"/>
          <w:szCs w:val="28"/>
        </w:rPr>
        <w:t>附件三-法務部行政執行署○○分署行政執行事件鑑定費用收費標準表</w:t>
      </w:r>
    </w:p>
    <w:p w:rsidR="000F5BC6" w:rsidRPr="000F5BC6" w:rsidRDefault="000F5BC6" w:rsidP="000F5BC6">
      <w:pPr>
        <w:widowControl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八、稅金及規費應由鑑定人自行負擔，不得另外收取。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九、鑑定書內容不實或錯誤，致生損害者，鑑定人應負損害賠償責任。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="426" w:hangingChars="152" w:hanging="426"/>
        <w:rPr>
          <w:rFonts w:ascii="標楷體" w:eastAsia="標楷體" w:hAnsi="標楷體" w:cs="新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十、鑑定人遇有非法阻撓鑑定及相關情事，得向分署或有關機關報請處理。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十一、本要點如有未盡事宜，依相關法令規定辦理。</w:t>
      </w:r>
    </w:p>
    <w:p w:rsidR="000F5BC6" w:rsidRPr="000F5BC6" w:rsidRDefault="000F5BC6" w:rsidP="000F5B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0F5BC6">
        <w:rPr>
          <w:rFonts w:ascii="標楷體" w:eastAsia="標楷體" w:hAnsi="標楷體" w:cs="細明體" w:hint="eastAsia"/>
          <w:kern w:val="0"/>
          <w:sz w:val="28"/>
          <w:szCs w:val="28"/>
        </w:rPr>
        <w:t>十二、本要點奉署長核定後實施，修正時亦同。</w:t>
      </w:r>
    </w:p>
    <w:p w:rsidR="00D77F1B" w:rsidRPr="000F5BC6" w:rsidRDefault="00D77F1B"/>
    <w:sectPr w:rsidR="00D77F1B" w:rsidRPr="000F5B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6"/>
    <w:rsid w:val="000F5BC6"/>
    <w:rsid w:val="00C56184"/>
    <w:rsid w:val="00D7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F5B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50" w:lineRule="atLeast"/>
    </w:pPr>
    <w:rPr>
      <w:rFonts w:ascii="細明體" w:eastAsia="細明體" w:hAnsi="細明體" w:cs="細明體"/>
      <w:kern w:val="0"/>
      <w:sz w:val="33"/>
      <w:szCs w:val="33"/>
    </w:rPr>
  </w:style>
  <w:style w:type="character" w:customStyle="1" w:styleId="HTML0">
    <w:name w:val="HTML 預設格式 字元"/>
    <w:basedOn w:val="a0"/>
    <w:link w:val="HTML"/>
    <w:uiPriority w:val="99"/>
    <w:semiHidden/>
    <w:rsid w:val="000F5BC6"/>
    <w:rPr>
      <w:rFonts w:ascii="細明體" w:eastAsia="細明體" w:hAnsi="細明體" w:cs="細明體"/>
      <w:kern w:val="0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F5B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50" w:lineRule="atLeast"/>
    </w:pPr>
    <w:rPr>
      <w:rFonts w:ascii="細明體" w:eastAsia="細明體" w:hAnsi="細明體" w:cs="細明體"/>
      <w:kern w:val="0"/>
      <w:sz w:val="33"/>
      <w:szCs w:val="33"/>
    </w:rPr>
  </w:style>
  <w:style w:type="character" w:customStyle="1" w:styleId="HTML0">
    <w:name w:val="HTML 預設格式 字元"/>
    <w:basedOn w:val="a0"/>
    <w:link w:val="HTML"/>
    <w:uiPriority w:val="99"/>
    <w:semiHidden/>
    <w:rsid w:val="000F5BC6"/>
    <w:rPr>
      <w:rFonts w:ascii="細明體" w:eastAsia="細明體" w:hAnsi="細明體" w:cs="細明體"/>
      <w:kern w:val="0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許瑞益</dc:creator>
  <cp:lastModifiedBy>羅月秀</cp:lastModifiedBy>
  <cp:revision>2</cp:revision>
  <cp:lastPrinted>2018-11-12T10:44:00Z</cp:lastPrinted>
  <dcterms:created xsi:type="dcterms:W3CDTF">2015-11-12T03:39:00Z</dcterms:created>
  <dcterms:modified xsi:type="dcterms:W3CDTF">2018-11-12T10:44:00Z</dcterms:modified>
</cp:coreProperties>
</file>